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35D52" w14:textId="77777777" w:rsidR="00363616" w:rsidRPr="006A1440" w:rsidRDefault="00044CAE" w:rsidP="00284B1D">
      <w:pPr>
        <w:spacing w:line="500" w:lineRule="exact"/>
        <w:jc w:val="both"/>
        <w:rPr>
          <w:rFonts w:ascii="Times New Roman" w:eastAsia="標楷體" w:hAnsi="Times New Roman"/>
          <w:b/>
          <w:sz w:val="32"/>
          <w:szCs w:val="32"/>
        </w:rPr>
      </w:pPr>
      <w:r w:rsidRPr="006A1440">
        <w:rPr>
          <w:rFonts w:ascii="Times New Roman" w:eastAsia="標楷體" w:hAnsi="Times New Roman"/>
          <w:b/>
          <w:sz w:val="32"/>
          <w:szCs w:val="32"/>
        </w:rPr>
        <w:t xml:space="preserve">Statement on Academic Ethics by the </w:t>
      </w:r>
      <w:r w:rsidR="00F06859" w:rsidRPr="006A1440">
        <w:rPr>
          <w:rFonts w:ascii="Times New Roman" w:eastAsia="標楷體" w:hAnsi="Times New Roman"/>
          <w:b/>
          <w:sz w:val="32"/>
          <w:szCs w:val="32"/>
        </w:rPr>
        <w:t>National Science and Technology Council</w:t>
      </w:r>
    </w:p>
    <w:p w14:paraId="577FE609" w14:textId="77777777" w:rsidR="00D562E7" w:rsidRPr="006A1440" w:rsidRDefault="00D562E7" w:rsidP="00D562E7">
      <w:pPr>
        <w:spacing w:line="300" w:lineRule="auto"/>
        <w:jc w:val="right"/>
        <w:rPr>
          <w:rFonts w:ascii="Times New Roman" w:eastAsia="標楷體" w:hAnsi="Times New Roman"/>
          <w:b/>
          <w:szCs w:val="24"/>
        </w:rPr>
      </w:pPr>
      <w:r w:rsidRPr="006A1440">
        <w:rPr>
          <w:rFonts w:ascii="Times New Roman" w:eastAsia="標楷體" w:hAnsi="Times New Roman"/>
          <w:b/>
          <w:szCs w:val="24"/>
        </w:rPr>
        <w:t>Amended</w:t>
      </w:r>
      <w:r w:rsidRPr="006A1440">
        <w:rPr>
          <w:rFonts w:ascii="Times New Roman" w:eastAsia="標楷體" w:hAnsi="Times New Roman" w:hint="eastAsia"/>
          <w:b/>
          <w:szCs w:val="24"/>
        </w:rPr>
        <w:t xml:space="preserve"> on </w:t>
      </w:r>
      <w:r w:rsidR="00F06859" w:rsidRPr="006A1440">
        <w:rPr>
          <w:rFonts w:ascii="Times New Roman" w:eastAsia="標楷體" w:hAnsi="Times New Roman"/>
          <w:b/>
          <w:szCs w:val="24"/>
        </w:rPr>
        <w:t>July</w:t>
      </w:r>
      <w:r w:rsidRPr="006A1440">
        <w:rPr>
          <w:rFonts w:ascii="Times New Roman" w:eastAsia="標楷體" w:hAnsi="Times New Roman" w:hint="eastAsia"/>
          <w:b/>
          <w:szCs w:val="24"/>
        </w:rPr>
        <w:t xml:space="preserve"> </w:t>
      </w:r>
      <w:r w:rsidR="00F06859" w:rsidRPr="006A1440">
        <w:rPr>
          <w:rFonts w:ascii="Times New Roman" w:eastAsia="標楷體" w:hAnsi="Times New Roman" w:hint="eastAsia"/>
          <w:b/>
          <w:szCs w:val="24"/>
        </w:rPr>
        <w:t>28</w:t>
      </w:r>
      <w:r w:rsidRPr="006A1440">
        <w:rPr>
          <w:rFonts w:ascii="Times New Roman" w:eastAsia="標楷體" w:hAnsi="Times New Roman" w:hint="eastAsia"/>
          <w:b/>
          <w:szCs w:val="24"/>
        </w:rPr>
        <w:t>, 20</w:t>
      </w:r>
      <w:r w:rsidR="00F06859" w:rsidRPr="006A1440">
        <w:rPr>
          <w:rFonts w:ascii="Times New Roman" w:eastAsia="標楷體" w:hAnsi="Times New Roman" w:hint="eastAsia"/>
          <w:b/>
          <w:szCs w:val="24"/>
        </w:rPr>
        <w:t>22</w:t>
      </w:r>
    </w:p>
    <w:p w14:paraId="60A8B98A" w14:textId="77777777" w:rsidR="00363616" w:rsidRPr="006A1440" w:rsidRDefault="000C1E7A" w:rsidP="0024480B">
      <w:pPr>
        <w:pStyle w:val="a3"/>
        <w:numPr>
          <w:ilvl w:val="0"/>
          <w:numId w:val="4"/>
        </w:numPr>
        <w:spacing w:line="360" w:lineRule="auto"/>
        <w:ind w:leftChars="0"/>
        <w:jc w:val="both"/>
        <w:textAlignment w:val="baseline"/>
        <w:rPr>
          <w:rFonts w:ascii="Times New Roman" w:eastAsia="標楷體" w:hAnsi="Times New Roman" w:cs="Times New Roman"/>
          <w:sz w:val="28"/>
          <w:szCs w:val="28"/>
        </w:rPr>
      </w:pPr>
      <w:r w:rsidRPr="006A1440">
        <w:rPr>
          <w:rFonts w:ascii="Times New Roman" w:eastAsia="標楷體" w:hAnsi="Times New Roman" w:cs="Times New Roman"/>
          <w:b/>
          <w:sz w:val="28"/>
          <w:szCs w:val="28"/>
        </w:rPr>
        <w:t>I</w:t>
      </w:r>
      <w:r w:rsidR="00044CAE" w:rsidRPr="006A1440">
        <w:rPr>
          <w:rFonts w:ascii="Times New Roman" w:eastAsia="標楷體" w:hAnsi="Times New Roman" w:cs="Times New Roman"/>
          <w:b/>
          <w:sz w:val="28"/>
          <w:szCs w:val="28"/>
        </w:rPr>
        <w:t>mportance of academic ethics</w:t>
      </w:r>
      <w:r w:rsidR="00044CAE" w:rsidRPr="006A1440">
        <w:rPr>
          <w:rFonts w:ascii="Times New Roman" w:eastAsia="標楷體" w:hAnsi="Times New Roman" w:cs="Times New Roman"/>
          <w:sz w:val="28"/>
          <w:szCs w:val="28"/>
        </w:rPr>
        <w:t>: Academic ethics are</w:t>
      </w:r>
      <w:r w:rsidR="00002576" w:rsidRPr="006A1440">
        <w:rPr>
          <w:rFonts w:ascii="Times New Roman" w:eastAsia="標楷體" w:hAnsi="Times New Roman" w:cs="Times New Roman" w:hint="eastAsia"/>
          <w:sz w:val="28"/>
          <w:szCs w:val="28"/>
        </w:rPr>
        <w:t xml:space="preserve"> the</w:t>
      </w:r>
      <w:r w:rsidR="00044CAE" w:rsidRPr="006A1440">
        <w:rPr>
          <w:rFonts w:ascii="Times New Roman" w:eastAsia="標楷體" w:hAnsi="Times New Roman" w:cs="Times New Roman"/>
          <w:sz w:val="28"/>
          <w:szCs w:val="28"/>
        </w:rPr>
        <w:t xml:space="preserve"> academic communities’ self-disciplined regulations for research conduct. </w:t>
      </w:r>
      <w:r w:rsidRPr="006A1440">
        <w:rPr>
          <w:rFonts w:ascii="Times New Roman" w:hAnsi="Times New Roman" w:cs="Times New Roman"/>
          <w:kern w:val="2"/>
          <w:sz w:val="28"/>
          <w:szCs w:val="28"/>
          <w:lang w:eastAsia="en-US"/>
        </w:rPr>
        <w:t xml:space="preserve">The core principles of academic ethics </w:t>
      </w:r>
      <w:r w:rsidR="00044CAE" w:rsidRPr="006A1440">
        <w:rPr>
          <w:rFonts w:ascii="Times New Roman" w:eastAsia="標楷體" w:hAnsi="Times New Roman" w:cs="Times New Roman"/>
          <w:sz w:val="28"/>
          <w:szCs w:val="28"/>
        </w:rPr>
        <w:t>are honesty, responsibility, and righteousness.</w:t>
      </w:r>
      <w:r w:rsidR="0096670D" w:rsidRPr="006A1440">
        <w:rPr>
          <w:rFonts w:ascii="Times New Roman" w:eastAsia="標楷體" w:hAnsi="Times New Roman" w:cs="Times New Roman"/>
          <w:sz w:val="28"/>
          <w:szCs w:val="28"/>
        </w:rPr>
        <w:t xml:space="preserve"> </w:t>
      </w:r>
      <w:r w:rsidR="0096670D" w:rsidRPr="006A1440">
        <w:rPr>
          <w:rFonts w:ascii="Times New Roman" w:hAnsi="Times New Roman" w:cs="Times New Roman"/>
          <w:kern w:val="2"/>
          <w:sz w:val="28"/>
          <w:szCs w:val="28"/>
          <w:lang w:eastAsia="en-US"/>
        </w:rPr>
        <w:t xml:space="preserve">These foundations are necessary to ensure that academic research </w:t>
      </w:r>
      <w:r w:rsidR="00A61869" w:rsidRPr="006A1440">
        <w:rPr>
          <w:rFonts w:ascii="Times New Roman" w:hAnsi="Times New Roman" w:cs="Times New Roman"/>
          <w:sz w:val="28"/>
          <w:szCs w:val="28"/>
        </w:rPr>
        <w:t>is implemented suitably and effectively</w:t>
      </w:r>
      <w:r w:rsidR="0096670D" w:rsidRPr="006A1440">
        <w:rPr>
          <w:rFonts w:ascii="Times New Roman" w:hAnsi="Times New Roman" w:cs="Times New Roman"/>
          <w:kern w:val="2"/>
          <w:sz w:val="28"/>
          <w:szCs w:val="28"/>
          <w:lang w:eastAsia="en-US"/>
        </w:rPr>
        <w:t xml:space="preserve"> while maintaining social confidence and support.</w:t>
      </w:r>
    </w:p>
    <w:p w14:paraId="43E2CDE8" w14:textId="77777777" w:rsidR="00363616" w:rsidRPr="006A1440" w:rsidRDefault="00A406F9" w:rsidP="0024480B">
      <w:pPr>
        <w:pStyle w:val="a3"/>
        <w:numPr>
          <w:ilvl w:val="0"/>
          <w:numId w:val="4"/>
        </w:numPr>
        <w:spacing w:line="360" w:lineRule="auto"/>
        <w:ind w:leftChars="0"/>
        <w:jc w:val="both"/>
        <w:textAlignment w:val="baseline"/>
        <w:rPr>
          <w:rFonts w:ascii="Times New Roman" w:eastAsia="標楷體" w:hAnsi="Times New Roman" w:cs="Times New Roman"/>
          <w:b/>
          <w:sz w:val="28"/>
          <w:szCs w:val="28"/>
        </w:rPr>
      </w:pPr>
      <w:r w:rsidRPr="006A1440">
        <w:rPr>
          <w:rFonts w:ascii="Times New Roman" w:hAnsi="Times New Roman" w:cs="Times New Roman"/>
          <w:b/>
          <w:kern w:val="2"/>
          <w:sz w:val="28"/>
          <w:szCs w:val="28"/>
          <w:lang w:eastAsia="en-US"/>
        </w:rPr>
        <w:t xml:space="preserve">Guidelines for </w:t>
      </w:r>
      <w:r w:rsidR="00002576" w:rsidRPr="006A1440">
        <w:rPr>
          <w:rFonts w:ascii="Times New Roman" w:hAnsi="Times New Roman" w:cs="Times New Roman" w:hint="eastAsia"/>
          <w:b/>
          <w:kern w:val="2"/>
          <w:sz w:val="28"/>
          <w:szCs w:val="28"/>
        </w:rPr>
        <w:t xml:space="preserve">the </w:t>
      </w:r>
      <w:r w:rsidRPr="006A1440">
        <w:rPr>
          <w:rFonts w:ascii="Times New Roman" w:hAnsi="Times New Roman" w:cs="Times New Roman"/>
          <w:b/>
          <w:kern w:val="2"/>
          <w:sz w:val="28"/>
          <w:szCs w:val="28"/>
          <w:lang w:eastAsia="en-US"/>
        </w:rPr>
        <w:t>academic ethics and differences between fields of research</w:t>
      </w:r>
      <w:r w:rsidR="00044CAE" w:rsidRPr="006A1440">
        <w:rPr>
          <w:rFonts w:ascii="Times New Roman" w:eastAsia="標楷體" w:hAnsi="Times New Roman" w:cs="Times New Roman"/>
          <w:b/>
          <w:sz w:val="28"/>
          <w:szCs w:val="28"/>
        </w:rPr>
        <w:t>:</w:t>
      </w:r>
      <w:r w:rsidR="0096670D" w:rsidRPr="006A1440">
        <w:rPr>
          <w:rFonts w:ascii="Times New Roman" w:hAnsi="Times New Roman" w:cs="Times New Roman"/>
          <w:kern w:val="2"/>
          <w:sz w:val="28"/>
          <w:szCs w:val="28"/>
          <w:lang w:eastAsia="en-US"/>
        </w:rPr>
        <w:t xml:space="preserve"> There may be uncertainties when enforcing academic ethics. Academic groups shall regulate themselves and provide positive guidelines on proper conduct of research as well as improper actions to avoid. The </w:t>
      </w:r>
      <w:r w:rsidR="00F06859" w:rsidRPr="006A1440">
        <w:rPr>
          <w:rFonts w:ascii="Times New Roman" w:hAnsi="Times New Roman" w:cs="Times New Roman"/>
          <w:sz w:val="27"/>
          <w:szCs w:val="27"/>
          <w:shd w:val="clear" w:color="auto" w:fill="FFFFFF"/>
        </w:rPr>
        <w:t>Council</w:t>
      </w:r>
      <w:r w:rsidR="0096670D" w:rsidRPr="006A1440">
        <w:rPr>
          <w:rFonts w:ascii="Times New Roman" w:hAnsi="Times New Roman" w:cs="Times New Roman"/>
          <w:kern w:val="2"/>
          <w:sz w:val="28"/>
          <w:szCs w:val="28"/>
          <w:lang w:eastAsia="en-US"/>
        </w:rPr>
        <w:t xml:space="preserve"> hereby publicly declares the basic principles of academic </w:t>
      </w:r>
      <w:r w:rsidR="00002576" w:rsidRPr="006A1440">
        <w:rPr>
          <w:rFonts w:ascii="Times New Roman" w:hAnsi="Times New Roman" w:cs="Times New Roman" w:hint="eastAsia"/>
          <w:kern w:val="2"/>
          <w:sz w:val="28"/>
          <w:szCs w:val="28"/>
        </w:rPr>
        <w:t>ethics</w:t>
      </w:r>
      <w:r w:rsidR="0096670D" w:rsidRPr="006A1440">
        <w:rPr>
          <w:rFonts w:ascii="Times New Roman" w:hAnsi="Times New Roman" w:cs="Times New Roman"/>
          <w:kern w:val="2"/>
          <w:sz w:val="28"/>
          <w:szCs w:val="28"/>
          <w:lang w:eastAsia="en-US"/>
        </w:rPr>
        <w:t>. However, we also respect the differences in various fields and encourage the establishment, promulgation, and promotion of additional regulations in different areas of research.</w:t>
      </w:r>
    </w:p>
    <w:p w14:paraId="6F0210E6" w14:textId="77777777" w:rsidR="00363616" w:rsidRPr="006A1440" w:rsidRDefault="00075101" w:rsidP="0024480B">
      <w:pPr>
        <w:pStyle w:val="a3"/>
        <w:numPr>
          <w:ilvl w:val="0"/>
          <w:numId w:val="4"/>
        </w:numPr>
        <w:spacing w:line="360" w:lineRule="auto"/>
        <w:ind w:leftChars="0"/>
        <w:jc w:val="both"/>
        <w:textAlignment w:val="baseline"/>
        <w:rPr>
          <w:rFonts w:ascii="Times New Roman" w:eastAsia="標楷體" w:hAnsi="Times New Roman" w:cs="Times New Roman"/>
          <w:b/>
          <w:sz w:val="28"/>
          <w:szCs w:val="28"/>
        </w:rPr>
      </w:pPr>
      <w:r w:rsidRPr="006A1440">
        <w:rPr>
          <w:rFonts w:ascii="Times New Roman" w:eastAsia="標楷體" w:hAnsi="Times New Roman" w:cs="Times New Roman"/>
          <w:b/>
          <w:sz w:val="28"/>
          <w:szCs w:val="28"/>
        </w:rPr>
        <w:t>P</w:t>
      </w:r>
      <w:r w:rsidR="00044CAE" w:rsidRPr="006A1440">
        <w:rPr>
          <w:rFonts w:ascii="Times New Roman" w:eastAsia="標楷體" w:hAnsi="Times New Roman" w:cs="Times New Roman"/>
          <w:b/>
          <w:sz w:val="28"/>
          <w:szCs w:val="28"/>
        </w:rPr>
        <w:t>rinciple</w:t>
      </w:r>
      <w:r w:rsidRPr="006A1440">
        <w:rPr>
          <w:rFonts w:ascii="Times New Roman" w:eastAsia="標楷體" w:hAnsi="Times New Roman" w:cs="Times New Roman"/>
          <w:b/>
          <w:sz w:val="28"/>
          <w:szCs w:val="28"/>
        </w:rPr>
        <w:t>s</w:t>
      </w:r>
      <w:r w:rsidR="00044CAE" w:rsidRPr="006A1440">
        <w:rPr>
          <w:rFonts w:ascii="Times New Roman" w:eastAsia="標楷體" w:hAnsi="Times New Roman" w:cs="Times New Roman"/>
          <w:b/>
          <w:sz w:val="28"/>
          <w:szCs w:val="28"/>
        </w:rPr>
        <w:t xml:space="preserve"> </w:t>
      </w:r>
      <w:r w:rsidRPr="006A1440">
        <w:rPr>
          <w:rFonts w:ascii="Times New Roman" w:eastAsia="標楷體" w:hAnsi="Times New Roman" w:cs="Times New Roman"/>
          <w:b/>
          <w:sz w:val="28"/>
          <w:szCs w:val="28"/>
        </w:rPr>
        <w:t>for</w:t>
      </w:r>
      <w:r w:rsidR="00044CAE" w:rsidRPr="006A1440">
        <w:rPr>
          <w:rFonts w:ascii="Times New Roman" w:eastAsia="標楷體" w:hAnsi="Times New Roman" w:cs="Times New Roman"/>
          <w:b/>
          <w:sz w:val="28"/>
          <w:szCs w:val="28"/>
        </w:rPr>
        <w:t xml:space="preserve"> </w:t>
      </w:r>
      <w:r w:rsidR="00A406F9" w:rsidRPr="006A1440">
        <w:rPr>
          <w:rFonts w:ascii="Times New Roman" w:eastAsia="標楷體" w:hAnsi="Times New Roman" w:cs="Times New Roman"/>
          <w:b/>
          <w:sz w:val="28"/>
          <w:szCs w:val="28"/>
        </w:rPr>
        <w:t>handling</w:t>
      </w:r>
      <w:r w:rsidR="00044CAE" w:rsidRPr="006A1440">
        <w:rPr>
          <w:rFonts w:ascii="Times New Roman" w:eastAsia="標楷體" w:hAnsi="Times New Roman" w:cs="Times New Roman"/>
          <w:b/>
          <w:sz w:val="28"/>
          <w:szCs w:val="28"/>
        </w:rPr>
        <w:t xml:space="preserve"> </w:t>
      </w:r>
      <w:r w:rsidR="00A406F9" w:rsidRPr="006A1440">
        <w:rPr>
          <w:rFonts w:ascii="Times New Roman" w:eastAsia="標楷體" w:hAnsi="Times New Roman" w:cs="Times New Roman"/>
          <w:b/>
          <w:sz w:val="28"/>
          <w:szCs w:val="28"/>
        </w:rPr>
        <w:t>research misconduct cases</w:t>
      </w:r>
      <w:r w:rsidR="00044CAE" w:rsidRPr="006A1440">
        <w:rPr>
          <w:rFonts w:ascii="Times New Roman" w:eastAsia="標楷體" w:hAnsi="Times New Roman" w:cs="Times New Roman"/>
          <w:b/>
          <w:sz w:val="28"/>
          <w:szCs w:val="28"/>
        </w:rPr>
        <w:t xml:space="preserve">: </w:t>
      </w:r>
      <w:r w:rsidR="00A15E8A" w:rsidRPr="006A1440">
        <w:rPr>
          <w:rFonts w:ascii="Times New Roman" w:hAnsi="Times New Roman" w:cs="Times New Roman"/>
          <w:kern w:val="24"/>
          <w:sz w:val="28"/>
          <w:szCs w:val="28"/>
          <w:lang w:eastAsia="en-US"/>
        </w:rPr>
        <w:t xml:space="preserve">The responsibility of the </w:t>
      </w:r>
      <w:r w:rsidR="00F06859" w:rsidRPr="006A1440">
        <w:rPr>
          <w:rFonts w:ascii="Times New Roman" w:hAnsi="Times New Roman" w:cs="Times New Roman"/>
          <w:sz w:val="27"/>
          <w:szCs w:val="27"/>
          <w:shd w:val="clear" w:color="auto" w:fill="FFFFFF"/>
        </w:rPr>
        <w:t>Council</w:t>
      </w:r>
      <w:r w:rsidR="00A15E8A" w:rsidRPr="006A1440">
        <w:rPr>
          <w:rFonts w:ascii="Times New Roman" w:hAnsi="Times New Roman" w:cs="Times New Roman"/>
          <w:kern w:val="24"/>
          <w:sz w:val="28"/>
          <w:szCs w:val="28"/>
          <w:lang w:eastAsia="en-US"/>
        </w:rPr>
        <w:t xml:space="preserve"> is only applicable to cases related to academic research. Ethical behaviors related to daily life or work </w:t>
      </w:r>
      <w:r w:rsidRPr="006A1440">
        <w:rPr>
          <w:rFonts w:ascii="Times New Roman" w:hAnsi="Times New Roman" w:cs="Times New Roman"/>
          <w:kern w:val="24"/>
          <w:sz w:val="28"/>
          <w:szCs w:val="28"/>
        </w:rPr>
        <w:t>is</w:t>
      </w:r>
      <w:r w:rsidR="00A15E8A" w:rsidRPr="006A1440">
        <w:rPr>
          <w:rFonts w:ascii="Times New Roman" w:hAnsi="Times New Roman" w:cs="Times New Roman"/>
          <w:kern w:val="24"/>
          <w:sz w:val="28"/>
          <w:szCs w:val="28"/>
          <w:lang w:eastAsia="en-US"/>
        </w:rPr>
        <w:t xml:space="preserve"> not within the jurisdiction of the </w:t>
      </w:r>
      <w:r w:rsidR="00F06859" w:rsidRPr="006A1440">
        <w:rPr>
          <w:rFonts w:ascii="Times New Roman" w:hAnsi="Times New Roman" w:cs="Times New Roman"/>
          <w:sz w:val="27"/>
          <w:szCs w:val="27"/>
          <w:shd w:val="clear" w:color="auto" w:fill="FFFFFF"/>
        </w:rPr>
        <w:t>Council</w:t>
      </w:r>
      <w:r w:rsidR="00A15E8A" w:rsidRPr="006A1440">
        <w:rPr>
          <w:rFonts w:ascii="Times New Roman" w:hAnsi="Times New Roman" w:cs="Times New Roman"/>
          <w:kern w:val="24"/>
          <w:sz w:val="28"/>
          <w:szCs w:val="28"/>
          <w:lang w:eastAsia="en-US"/>
        </w:rPr>
        <w:t>.</w:t>
      </w:r>
      <w:r w:rsidR="00A15E8A" w:rsidRPr="006A1440">
        <w:rPr>
          <w:rFonts w:ascii="Times New Roman" w:hAnsi="Times New Roman" w:cs="Times New Roman"/>
          <w:kern w:val="2"/>
          <w:sz w:val="28"/>
          <w:szCs w:val="28"/>
          <w:lang w:eastAsia="en-US"/>
        </w:rPr>
        <w:t xml:space="preserve"> The public authority shall only be involved when violations of academic research have severely hampered the enforcement of public authority (such as research grants issued by the </w:t>
      </w:r>
      <w:r w:rsidR="00704178" w:rsidRPr="006A1440">
        <w:rPr>
          <w:rFonts w:ascii="Times New Roman" w:hAnsi="Times New Roman" w:cs="Times New Roman"/>
          <w:sz w:val="27"/>
          <w:szCs w:val="27"/>
          <w:shd w:val="clear" w:color="auto" w:fill="FFFFFF"/>
        </w:rPr>
        <w:t>Council</w:t>
      </w:r>
      <w:r w:rsidR="00A15E8A" w:rsidRPr="006A1440">
        <w:rPr>
          <w:rFonts w:ascii="Times New Roman" w:hAnsi="Times New Roman" w:cs="Times New Roman"/>
          <w:kern w:val="2"/>
          <w:sz w:val="28"/>
          <w:szCs w:val="28"/>
          <w:lang w:eastAsia="en-US"/>
        </w:rPr>
        <w:t xml:space="preserve"> or the promotion of instructors and professors in universities and colleges). </w:t>
      </w:r>
      <w:r w:rsidR="00A15E8A" w:rsidRPr="006A1440">
        <w:rPr>
          <w:rFonts w:ascii="Times New Roman" w:hAnsi="Times New Roman" w:cs="Times New Roman"/>
          <w:kern w:val="24"/>
          <w:sz w:val="28"/>
          <w:szCs w:val="28"/>
          <w:lang w:eastAsia="en-US"/>
        </w:rPr>
        <w:t xml:space="preserve">From the administrative perspective, since </w:t>
      </w:r>
      <w:r w:rsidR="00A15E8A" w:rsidRPr="006A1440">
        <w:rPr>
          <w:rFonts w:ascii="Times New Roman" w:hAnsi="Times New Roman" w:cs="Times New Roman"/>
          <w:kern w:val="24"/>
          <w:sz w:val="28"/>
          <w:szCs w:val="28"/>
          <w:lang w:eastAsia="en-US"/>
        </w:rPr>
        <w:lastRenderedPageBreak/>
        <w:t xml:space="preserve">administrative penalties issued by the </w:t>
      </w:r>
      <w:r w:rsidR="00704178" w:rsidRPr="006A1440">
        <w:rPr>
          <w:rFonts w:ascii="Times New Roman" w:hAnsi="Times New Roman" w:cs="Times New Roman"/>
          <w:sz w:val="27"/>
          <w:szCs w:val="27"/>
          <w:shd w:val="clear" w:color="auto" w:fill="FFFFFF"/>
        </w:rPr>
        <w:t>Council</w:t>
      </w:r>
      <w:r w:rsidR="00A15E8A" w:rsidRPr="006A1440">
        <w:rPr>
          <w:rFonts w:ascii="Times New Roman" w:hAnsi="Times New Roman" w:cs="Times New Roman"/>
          <w:kern w:val="24"/>
          <w:sz w:val="28"/>
          <w:szCs w:val="28"/>
          <w:lang w:eastAsia="en-US"/>
        </w:rPr>
        <w:t xml:space="preserve"> are only related to issues regarding rewards and subsidies. The </w:t>
      </w:r>
      <w:r w:rsidR="00704178" w:rsidRPr="006A1440">
        <w:rPr>
          <w:rFonts w:ascii="Times New Roman" w:hAnsi="Times New Roman" w:cs="Times New Roman"/>
          <w:sz w:val="27"/>
          <w:szCs w:val="27"/>
          <w:shd w:val="clear" w:color="auto" w:fill="FFFFFF"/>
        </w:rPr>
        <w:t>Council</w:t>
      </w:r>
      <w:r w:rsidR="00A15E8A" w:rsidRPr="006A1440">
        <w:rPr>
          <w:rFonts w:ascii="Times New Roman" w:hAnsi="Times New Roman" w:cs="Times New Roman"/>
          <w:kern w:val="24"/>
          <w:sz w:val="28"/>
          <w:szCs w:val="28"/>
          <w:lang w:eastAsia="en-US"/>
        </w:rPr>
        <w:t xml:space="preserve"> shall therefore only handle violations of academic ethics that are related to rewards and grants provided</w:t>
      </w:r>
      <w:r w:rsidRPr="006A1440">
        <w:rPr>
          <w:rFonts w:ascii="Times New Roman" w:hAnsi="Times New Roman" w:cs="Times New Roman"/>
          <w:kern w:val="24"/>
          <w:sz w:val="28"/>
          <w:szCs w:val="28"/>
        </w:rPr>
        <w:t xml:space="preserve"> </w:t>
      </w:r>
      <w:r w:rsidR="00A15E8A" w:rsidRPr="006A1440">
        <w:rPr>
          <w:rFonts w:ascii="Times New Roman" w:hAnsi="Times New Roman" w:cs="Times New Roman"/>
          <w:kern w:val="24"/>
          <w:sz w:val="28"/>
          <w:szCs w:val="28"/>
          <w:lang w:eastAsia="en-US"/>
        </w:rPr>
        <w:t xml:space="preserve">by the </w:t>
      </w:r>
      <w:r w:rsidR="00704178" w:rsidRPr="006A1440">
        <w:rPr>
          <w:rFonts w:ascii="Times New Roman" w:hAnsi="Times New Roman" w:cs="Times New Roman"/>
          <w:sz w:val="27"/>
          <w:szCs w:val="27"/>
          <w:shd w:val="clear" w:color="auto" w:fill="FFFFFF"/>
        </w:rPr>
        <w:t>Council</w:t>
      </w:r>
      <w:r w:rsidR="00A15E8A" w:rsidRPr="006A1440">
        <w:rPr>
          <w:rFonts w:ascii="Times New Roman" w:hAnsi="Times New Roman" w:cs="Times New Roman"/>
          <w:kern w:val="24"/>
          <w:sz w:val="28"/>
          <w:szCs w:val="28"/>
          <w:lang w:eastAsia="en-US"/>
        </w:rPr>
        <w:t>.</w:t>
      </w:r>
    </w:p>
    <w:p w14:paraId="23D7425E" w14:textId="5A5170E0" w:rsidR="00363616" w:rsidRPr="00CB5258" w:rsidRDefault="000575EB" w:rsidP="0024480B">
      <w:pPr>
        <w:pStyle w:val="a3"/>
        <w:numPr>
          <w:ilvl w:val="0"/>
          <w:numId w:val="4"/>
        </w:numPr>
        <w:spacing w:line="360" w:lineRule="auto"/>
        <w:ind w:leftChars="0"/>
        <w:jc w:val="both"/>
        <w:textAlignment w:val="baseline"/>
        <w:rPr>
          <w:rFonts w:ascii="Times New Roman" w:eastAsia="標楷體" w:hAnsi="Times New Roman" w:cs="Times New Roman" w:hint="eastAsia"/>
          <w:b/>
          <w:sz w:val="28"/>
          <w:szCs w:val="28"/>
        </w:rPr>
      </w:pPr>
      <w:r w:rsidRPr="006A1440">
        <w:rPr>
          <w:rFonts w:ascii="Times New Roman" w:eastAsia="標楷體" w:hAnsi="Times New Roman" w:cs="Times New Roman"/>
          <w:b/>
          <w:sz w:val="28"/>
          <w:szCs w:val="28"/>
        </w:rPr>
        <w:t>A</w:t>
      </w:r>
      <w:r w:rsidR="00044CAE" w:rsidRPr="006A1440">
        <w:rPr>
          <w:rFonts w:ascii="Times New Roman" w:eastAsia="標楷體" w:hAnsi="Times New Roman" w:cs="Times New Roman"/>
          <w:b/>
          <w:sz w:val="28"/>
          <w:szCs w:val="28"/>
        </w:rPr>
        <w:t xml:space="preserve">ssessment of </w:t>
      </w:r>
      <w:r w:rsidR="00A406F9" w:rsidRPr="006A1440">
        <w:rPr>
          <w:rFonts w:ascii="Times New Roman" w:eastAsia="標楷體" w:hAnsi="Times New Roman" w:cs="Times New Roman"/>
          <w:b/>
          <w:sz w:val="28"/>
          <w:szCs w:val="28"/>
        </w:rPr>
        <w:t>research misconduct</w:t>
      </w:r>
      <w:r w:rsidR="00044CAE" w:rsidRPr="006A1440">
        <w:rPr>
          <w:rFonts w:ascii="Times New Roman" w:eastAsia="標楷體" w:hAnsi="Times New Roman" w:cs="Times New Roman"/>
          <w:b/>
          <w:sz w:val="28"/>
          <w:szCs w:val="28"/>
        </w:rPr>
        <w:t xml:space="preserve">: </w:t>
      </w:r>
      <w:r w:rsidRPr="006A1440">
        <w:rPr>
          <w:rFonts w:ascii="Times New Roman" w:hAnsi="Times New Roman"/>
          <w:sz w:val="28"/>
          <w:szCs w:val="28"/>
          <w:lang w:eastAsia="en-US"/>
        </w:rPr>
        <w:t xml:space="preserve">The standard adopted by the </w:t>
      </w:r>
      <w:r w:rsidR="00704178" w:rsidRPr="006A1440">
        <w:rPr>
          <w:rFonts w:ascii="Times New Roman" w:hAnsi="Times New Roman" w:cs="Times New Roman"/>
          <w:sz w:val="27"/>
          <w:szCs w:val="27"/>
          <w:shd w:val="clear" w:color="auto" w:fill="FFFFFF"/>
        </w:rPr>
        <w:t>Council</w:t>
      </w:r>
      <w:r w:rsidRPr="006A1440">
        <w:rPr>
          <w:rFonts w:ascii="Times New Roman" w:hAnsi="Times New Roman" w:cs="Times New Roman"/>
          <w:sz w:val="28"/>
          <w:szCs w:val="28"/>
          <w:lang w:eastAsia="en-US"/>
        </w:rPr>
        <w:t xml:space="preserve"> to determine if academic ethical violations have occurred is: </w:t>
      </w:r>
      <w:r w:rsidRPr="006A1440">
        <w:rPr>
          <w:rFonts w:ascii="Times New Roman" w:hAnsi="Times New Roman" w:cs="Times New Roman"/>
          <w:i/>
          <w:sz w:val="28"/>
          <w:szCs w:val="28"/>
          <w:lang w:eastAsia="en-US"/>
        </w:rPr>
        <w:t xml:space="preserve">“Any intentional and obvious violation of the code of conduct accepted by academic groups which severely misleads the </w:t>
      </w:r>
      <w:r w:rsidR="00704178" w:rsidRPr="006A1440">
        <w:rPr>
          <w:rFonts w:ascii="Times New Roman" w:hAnsi="Times New Roman" w:cs="Times New Roman"/>
          <w:i/>
          <w:sz w:val="28"/>
          <w:szCs w:val="28"/>
          <w:lang w:eastAsia="en-US"/>
        </w:rPr>
        <w:t>Council</w:t>
      </w:r>
      <w:r w:rsidR="00BB7EC7" w:rsidRPr="006A1440">
        <w:rPr>
          <w:rFonts w:ascii="Times New Roman" w:hAnsi="Times New Roman" w:cs="Times New Roman"/>
          <w:i/>
          <w:sz w:val="28"/>
          <w:szCs w:val="28"/>
          <w:lang w:eastAsia="en-US"/>
        </w:rPr>
        <w:t xml:space="preserve"> </w:t>
      </w:r>
      <w:r w:rsidRPr="006A1440">
        <w:rPr>
          <w:rFonts w:ascii="Times New Roman" w:hAnsi="Times New Roman" w:cs="Times New Roman"/>
          <w:i/>
          <w:sz w:val="28"/>
          <w:szCs w:val="28"/>
          <w:lang w:eastAsia="en-US"/>
        </w:rPr>
        <w:t xml:space="preserve">review processes and the verdict issued for the research outcomes, and any case that affect resource distribution and efficiency.” </w:t>
      </w:r>
      <w:r w:rsidRPr="006A1440">
        <w:rPr>
          <w:rFonts w:ascii="Times New Roman" w:hAnsi="Times New Roman" w:cs="Times New Roman"/>
          <w:kern w:val="24"/>
          <w:sz w:val="28"/>
          <w:szCs w:val="28"/>
          <w:lang w:eastAsia="en-US"/>
        </w:rPr>
        <w:t>Although certain acts are considered unacceptable (such as “</w:t>
      </w:r>
      <w:r w:rsidRPr="006A1440">
        <w:rPr>
          <w:rFonts w:ascii="Times New Roman" w:hAnsi="Times New Roman" w:cs="Times New Roman"/>
          <w:i/>
          <w:kern w:val="24"/>
          <w:sz w:val="28"/>
          <w:szCs w:val="28"/>
          <w:lang w:eastAsia="en-US"/>
        </w:rPr>
        <w:t>salami slicing</w:t>
      </w:r>
      <w:r w:rsidRPr="006A1440">
        <w:rPr>
          <w:rFonts w:ascii="Times New Roman" w:hAnsi="Times New Roman" w:cs="Times New Roman"/>
          <w:kern w:val="24"/>
          <w:sz w:val="28"/>
          <w:szCs w:val="28"/>
          <w:lang w:eastAsia="en-US"/>
        </w:rPr>
        <w:t xml:space="preserve">” where </w:t>
      </w:r>
      <w:r w:rsidR="00813200" w:rsidRPr="006A1440">
        <w:rPr>
          <w:rFonts w:ascii="Times New Roman" w:hAnsi="Times New Roman" w:cs="Times New Roman"/>
          <w:sz w:val="28"/>
          <w:szCs w:val="28"/>
        </w:rPr>
        <w:t>results</w:t>
      </w:r>
      <w:r w:rsidR="000A13A8" w:rsidRPr="006A1440">
        <w:rPr>
          <w:rFonts w:ascii="Times New Roman" w:hAnsi="Times New Roman" w:cs="Times New Roman"/>
          <w:kern w:val="24"/>
          <w:sz w:val="28"/>
          <w:szCs w:val="28"/>
          <w:lang w:eastAsia="en-US"/>
        </w:rPr>
        <w:t xml:space="preserve"> of a research project </w:t>
      </w:r>
      <w:r w:rsidR="000A13A8" w:rsidRPr="006A1440">
        <w:rPr>
          <w:rFonts w:ascii="Times New Roman" w:hAnsi="Times New Roman" w:cs="Times New Roman" w:hint="eastAsia"/>
          <w:kern w:val="24"/>
          <w:sz w:val="28"/>
          <w:szCs w:val="28"/>
        </w:rPr>
        <w:t>are</w:t>
      </w:r>
      <w:r w:rsidRPr="006A1440">
        <w:rPr>
          <w:rFonts w:ascii="Times New Roman" w:hAnsi="Times New Roman" w:cs="Times New Roman"/>
          <w:kern w:val="24"/>
          <w:sz w:val="28"/>
          <w:szCs w:val="28"/>
          <w:lang w:eastAsia="en-US"/>
        </w:rPr>
        <w:t xml:space="preserve"> divided into multiple smaller papers with each paper making only min</w:t>
      </w:r>
      <w:r w:rsidR="00F542A2" w:rsidRPr="006A1440">
        <w:rPr>
          <w:rFonts w:ascii="Times New Roman" w:hAnsi="Times New Roman" w:cs="Times New Roman" w:hint="eastAsia"/>
          <w:kern w:val="24"/>
          <w:sz w:val="28"/>
          <w:szCs w:val="28"/>
        </w:rPr>
        <w:t>or</w:t>
      </w:r>
      <w:r w:rsidRPr="006A1440">
        <w:rPr>
          <w:rFonts w:ascii="Times New Roman" w:hAnsi="Times New Roman" w:cs="Times New Roman"/>
          <w:kern w:val="24"/>
          <w:sz w:val="28"/>
          <w:szCs w:val="28"/>
          <w:lang w:eastAsia="en-US"/>
        </w:rPr>
        <w:t xml:space="preserve"> improvements; and improper citation of papers), these acts will not be within the scope of possible penalties issued by the public authority. The </w:t>
      </w:r>
      <w:r w:rsidR="00704178" w:rsidRPr="006A1440">
        <w:rPr>
          <w:rFonts w:ascii="Times New Roman" w:hAnsi="Times New Roman" w:cs="Times New Roman"/>
          <w:sz w:val="27"/>
          <w:szCs w:val="27"/>
          <w:shd w:val="clear" w:color="auto" w:fill="FFFFFF"/>
        </w:rPr>
        <w:t>Council</w:t>
      </w:r>
      <w:r w:rsidRPr="006A1440">
        <w:rPr>
          <w:rFonts w:ascii="Times New Roman" w:hAnsi="Times New Roman" w:cs="Times New Roman"/>
          <w:kern w:val="24"/>
          <w:sz w:val="28"/>
          <w:szCs w:val="28"/>
          <w:lang w:eastAsia="en-US"/>
        </w:rPr>
        <w:t xml:space="preserve"> may adopt a review system to make such acts unprofitable in order to change academic conduct. </w:t>
      </w:r>
      <w:r w:rsidRPr="006A1440">
        <w:rPr>
          <w:rFonts w:ascii="Times New Roman" w:hAnsi="Times New Roman" w:cs="Times New Roman"/>
          <w:sz w:val="28"/>
          <w:szCs w:val="28"/>
          <w:lang w:eastAsia="en-US"/>
        </w:rPr>
        <w:t>Academic groups shall enforce internal discipline</w:t>
      </w:r>
      <w:r w:rsidR="00F542A2" w:rsidRPr="006A1440">
        <w:rPr>
          <w:rFonts w:ascii="Times New Roman" w:hAnsi="Times New Roman" w:cs="Times New Roman" w:hint="eastAsia"/>
          <w:sz w:val="28"/>
          <w:szCs w:val="28"/>
        </w:rPr>
        <w:t>s</w:t>
      </w:r>
      <w:r w:rsidRPr="006A1440">
        <w:rPr>
          <w:rFonts w:ascii="Times New Roman" w:hAnsi="Times New Roman" w:cs="Times New Roman"/>
          <w:sz w:val="28"/>
          <w:szCs w:val="28"/>
          <w:lang w:eastAsia="en-US"/>
        </w:rPr>
        <w:t xml:space="preserve"> for the misinterpretation, improper summarization, or lack of stringency of research </w:t>
      </w:r>
      <w:r w:rsidR="00813200" w:rsidRPr="006A1440">
        <w:rPr>
          <w:rFonts w:ascii="Times New Roman" w:hAnsi="Times New Roman" w:cs="Times New Roman"/>
          <w:sz w:val="28"/>
          <w:szCs w:val="28"/>
        </w:rPr>
        <w:t>results</w:t>
      </w:r>
      <w:r w:rsidRPr="006A1440">
        <w:rPr>
          <w:rFonts w:ascii="Times New Roman" w:hAnsi="Times New Roman" w:cs="Times New Roman"/>
          <w:sz w:val="28"/>
          <w:szCs w:val="28"/>
          <w:lang w:eastAsia="en-US"/>
        </w:rPr>
        <w:t>. However, where the results of such acts do not mislead the review process, penalties from the</w:t>
      </w:r>
      <w:r w:rsidR="00BB7EC7" w:rsidRPr="006A1440">
        <w:rPr>
          <w:rFonts w:ascii="Times New Roman" w:hAnsi="Times New Roman" w:cs="Times New Roman"/>
          <w:sz w:val="28"/>
          <w:szCs w:val="28"/>
          <w:lang w:eastAsia="en-US"/>
        </w:rPr>
        <w:t xml:space="preserve"> </w:t>
      </w:r>
      <w:r w:rsidR="00704178" w:rsidRPr="006A1440">
        <w:rPr>
          <w:rFonts w:ascii="Times New Roman" w:hAnsi="Times New Roman" w:cs="Times New Roman"/>
          <w:sz w:val="27"/>
          <w:szCs w:val="27"/>
          <w:shd w:val="clear" w:color="auto" w:fill="FFFFFF"/>
        </w:rPr>
        <w:t>Council</w:t>
      </w:r>
      <w:r w:rsidRPr="006A1440">
        <w:rPr>
          <w:rFonts w:ascii="Times New Roman" w:hAnsi="Times New Roman" w:cs="Times New Roman"/>
          <w:sz w:val="28"/>
          <w:szCs w:val="28"/>
          <w:lang w:eastAsia="en-US"/>
        </w:rPr>
        <w:t xml:space="preserve"> will not be required.</w:t>
      </w:r>
      <w:bookmarkStart w:id="0" w:name="_GoBack"/>
      <w:bookmarkEnd w:id="0"/>
    </w:p>
    <w:p w14:paraId="1419C640" w14:textId="77777777" w:rsidR="00363616" w:rsidRPr="006A1440" w:rsidRDefault="00A61869" w:rsidP="006E0141">
      <w:pPr>
        <w:pStyle w:val="a3"/>
        <w:numPr>
          <w:ilvl w:val="0"/>
          <w:numId w:val="4"/>
        </w:numPr>
        <w:spacing w:line="360" w:lineRule="auto"/>
        <w:ind w:leftChars="0"/>
        <w:jc w:val="both"/>
        <w:textAlignment w:val="baseline"/>
        <w:rPr>
          <w:rFonts w:ascii="Times New Roman" w:eastAsia="標楷體" w:hAnsi="Times New Roman" w:cs="Times New Roman"/>
          <w:b/>
          <w:sz w:val="28"/>
          <w:szCs w:val="28"/>
        </w:rPr>
      </w:pPr>
      <w:r w:rsidRPr="006A1440">
        <w:rPr>
          <w:rFonts w:ascii="Times New Roman" w:hAnsi="Times New Roman" w:cs="Times New Roman"/>
          <w:b/>
          <w:kern w:val="24"/>
          <w:sz w:val="28"/>
          <w:szCs w:val="28"/>
          <w:lang w:eastAsia="en-US"/>
        </w:rPr>
        <w:t>Procedure for reviewing</w:t>
      </w:r>
      <w:r w:rsidRPr="006A1440">
        <w:rPr>
          <w:rFonts w:ascii="Times New Roman" w:eastAsia="標楷體" w:hAnsi="Times New Roman" w:cs="Times New Roman"/>
          <w:b/>
          <w:sz w:val="28"/>
          <w:szCs w:val="28"/>
        </w:rPr>
        <w:t xml:space="preserve"> research misconduct</w:t>
      </w:r>
      <w:r w:rsidR="00044CAE" w:rsidRPr="006A1440">
        <w:rPr>
          <w:rFonts w:ascii="Times New Roman" w:eastAsia="標楷體" w:hAnsi="Times New Roman" w:cs="Times New Roman"/>
          <w:b/>
          <w:sz w:val="28"/>
          <w:szCs w:val="28"/>
        </w:rPr>
        <w:t xml:space="preserve"> cases: </w:t>
      </w:r>
      <w:r w:rsidR="006E0141" w:rsidRPr="006A1440">
        <w:rPr>
          <w:rFonts w:ascii="Times New Roman" w:hAnsi="Times New Roman" w:cs="Times New Roman"/>
          <w:kern w:val="24"/>
          <w:sz w:val="28"/>
          <w:szCs w:val="28"/>
          <w:lang w:eastAsia="en-US"/>
        </w:rPr>
        <w:t xml:space="preserve">For any case of a signed report providing substantial evidence or suspect violations of academic ethics identified by the </w:t>
      </w:r>
      <w:r w:rsidR="00704178" w:rsidRPr="006A1440">
        <w:rPr>
          <w:rFonts w:ascii="Times New Roman" w:hAnsi="Times New Roman" w:cs="Times New Roman"/>
          <w:sz w:val="27"/>
          <w:szCs w:val="27"/>
          <w:shd w:val="clear" w:color="auto" w:fill="FFFFFF"/>
        </w:rPr>
        <w:t>Council</w:t>
      </w:r>
      <w:r w:rsidR="006E0141" w:rsidRPr="006A1440">
        <w:rPr>
          <w:rFonts w:ascii="Times New Roman" w:hAnsi="Times New Roman" w:cs="Times New Roman"/>
          <w:kern w:val="24"/>
          <w:sz w:val="28"/>
          <w:szCs w:val="28"/>
          <w:lang w:eastAsia="en-US"/>
        </w:rPr>
        <w:t xml:space="preserve"> when conducting its official duties, the </w:t>
      </w:r>
      <w:r w:rsidR="00704178" w:rsidRPr="006A1440">
        <w:rPr>
          <w:rFonts w:ascii="Times New Roman" w:hAnsi="Times New Roman" w:cs="Times New Roman"/>
          <w:sz w:val="27"/>
          <w:szCs w:val="27"/>
          <w:shd w:val="clear" w:color="auto" w:fill="FFFFFF"/>
        </w:rPr>
        <w:t>Council</w:t>
      </w:r>
      <w:r w:rsidR="006E0141" w:rsidRPr="006A1440">
        <w:rPr>
          <w:rFonts w:ascii="Times New Roman" w:hAnsi="Times New Roman" w:cs="Times New Roman"/>
          <w:kern w:val="24"/>
          <w:sz w:val="28"/>
          <w:szCs w:val="28"/>
          <w:lang w:eastAsia="en-US"/>
        </w:rPr>
        <w:t xml:space="preserve"> shall submit case to the concerned </w:t>
      </w:r>
      <w:r w:rsidR="006E0141" w:rsidRPr="006A1440">
        <w:rPr>
          <w:rFonts w:ascii="Times New Roman" w:hAnsi="Times New Roman" w:cs="Times New Roman"/>
          <w:kern w:val="24"/>
          <w:sz w:val="28"/>
          <w:szCs w:val="28"/>
          <w:lang w:eastAsia="en-US"/>
        </w:rPr>
        <w:lastRenderedPageBreak/>
        <w:t xml:space="preserve">academic department for preliminary review. If the violation of academic ethics is verified, the case shall be submitted to the Academic Ethics </w:t>
      </w:r>
      <w:r w:rsidR="00704178" w:rsidRPr="006A1440">
        <w:rPr>
          <w:rFonts w:ascii="Times New Roman" w:hAnsi="Times New Roman" w:cs="Times New Roman"/>
          <w:kern w:val="24"/>
          <w:sz w:val="28"/>
          <w:szCs w:val="28"/>
          <w:lang w:eastAsia="en-US"/>
        </w:rPr>
        <w:t>Review</w:t>
      </w:r>
      <w:r w:rsidR="006E0141" w:rsidRPr="006A1440">
        <w:rPr>
          <w:rFonts w:ascii="Times New Roman" w:hAnsi="Times New Roman" w:cs="Times New Roman"/>
          <w:kern w:val="24"/>
          <w:sz w:val="28"/>
          <w:szCs w:val="28"/>
          <w:lang w:eastAsia="en-US"/>
        </w:rPr>
        <w:t xml:space="preserve"> Committee for review. Before arriving at a verdict that penalizes the violator, </w:t>
      </w:r>
      <w:r w:rsidR="00B0543A" w:rsidRPr="006A1440">
        <w:rPr>
          <w:rFonts w:ascii="Times New Roman" w:eastAsia="標楷體" w:hAnsi="Times New Roman" w:cs="Times New Roman"/>
          <w:sz w:val="28"/>
          <w:szCs w:val="28"/>
        </w:rPr>
        <w:t>the person concerned should have the opportunity to explain.</w:t>
      </w:r>
      <w:r w:rsidR="006E0141" w:rsidRPr="006A1440" w:rsidDel="006E0141">
        <w:rPr>
          <w:rFonts w:ascii="Times New Roman" w:hAnsi="Times New Roman" w:cs="Times New Roman"/>
          <w:kern w:val="24"/>
          <w:sz w:val="28"/>
          <w:szCs w:val="28"/>
          <w:lang w:eastAsia="en-US"/>
        </w:rPr>
        <w:t xml:space="preserve"> </w:t>
      </w:r>
    </w:p>
    <w:p w14:paraId="3BD73E45" w14:textId="77777777" w:rsidR="00363616" w:rsidRPr="006A1440" w:rsidRDefault="00044CAE" w:rsidP="00CD71DC">
      <w:pPr>
        <w:pStyle w:val="a3"/>
        <w:numPr>
          <w:ilvl w:val="0"/>
          <w:numId w:val="4"/>
        </w:numPr>
        <w:spacing w:line="360" w:lineRule="auto"/>
        <w:ind w:leftChars="0"/>
        <w:jc w:val="both"/>
        <w:textAlignment w:val="baseline"/>
        <w:rPr>
          <w:rFonts w:ascii="Times New Roman" w:eastAsia="標楷體" w:hAnsi="Times New Roman" w:cs="Times New Roman"/>
          <w:b/>
          <w:sz w:val="28"/>
          <w:szCs w:val="28"/>
        </w:rPr>
      </w:pPr>
      <w:r w:rsidRPr="006A1440">
        <w:rPr>
          <w:rFonts w:ascii="Times New Roman" w:eastAsia="標楷體" w:hAnsi="Times New Roman" w:cs="Times New Roman"/>
          <w:b/>
          <w:sz w:val="28"/>
          <w:szCs w:val="28"/>
        </w:rPr>
        <w:t xml:space="preserve">Prudence in the judgment of </w:t>
      </w:r>
      <w:r w:rsidR="00101123" w:rsidRPr="006A1440">
        <w:rPr>
          <w:rFonts w:ascii="Times New Roman" w:eastAsia="標楷體" w:hAnsi="Times New Roman" w:cs="Times New Roman"/>
          <w:b/>
          <w:sz w:val="28"/>
          <w:szCs w:val="28"/>
        </w:rPr>
        <w:t>research misconduct</w:t>
      </w:r>
      <w:r w:rsidRPr="006A1440">
        <w:rPr>
          <w:rFonts w:ascii="Times New Roman" w:eastAsia="標楷體" w:hAnsi="Times New Roman" w:cs="Times New Roman"/>
          <w:b/>
          <w:sz w:val="28"/>
          <w:szCs w:val="28"/>
        </w:rPr>
        <w:t>:</w:t>
      </w:r>
      <w:r w:rsidRPr="006A1440">
        <w:rPr>
          <w:rFonts w:ascii="Times New Roman" w:eastAsia="標楷體" w:hAnsi="Times New Roman" w:cs="Times New Roman"/>
          <w:sz w:val="28"/>
          <w:szCs w:val="28"/>
        </w:rPr>
        <w:t xml:space="preserve"> </w:t>
      </w:r>
      <w:r w:rsidR="00CD71DC" w:rsidRPr="006A1440">
        <w:rPr>
          <w:rFonts w:ascii="Times New Roman" w:eastAsia="標楷體" w:hAnsi="Times New Roman" w:cs="Times New Roman"/>
          <w:sz w:val="28"/>
          <w:szCs w:val="28"/>
        </w:rPr>
        <w:t xml:space="preserve">For any violation of academic ethics reviewed by the </w:t>
      </w:r>
      <w:r w:rsidR="00BD415C" w:rsidRPr="006A1440">
        <w:rPr>
          <w:rFonts w:ascii="Times New Roman" w:hAnsi="Times New Roman" w:cs="Times New Roman"/>
          <w:sz w:val="27"/>
          <w:szCs w:val="27"/>
          <w:shd w:val="clear" w:color="auto" w:fill="FFFFFF"/>
        </w:rPr>
        <w:t>Council</w:t>
      </w:r>
      <w:r w:rsidR="00CD71DC" w:rsidRPr="006A1440">
        <w:rPr>
          <w:rFonts w:ascii="Times New Roman" w:eastAsia="標楷體" w:hAnsi="Times New Roman" w:cs="Times New Roman"/>
          <w:sz w:val="28"/>
          <w:szCs w:val="28"/>
        </w:rPr>
        <w:t xml:space="preserve">, the </w:t>
      </w:r>
      <w:r w:rsidR="00BD415C" w:rsidRPr="006A1440">
        <w:rPr>
          <w:rFonts w:ascii="Times New Roman" w:hAnsi="Times New Roman" w:cs="Times New Roman"/>
          <w:sz w:val="27"/>
          <w:szCs w:val="27"/>
          <w:shd w:val="clear" w:color="auto" w:fill="FFFFFF"/>
        </w:rPr>
        <w:t>Council</w:t>
      </w:r>
      <w:r w:rsidR="00CD71DC" w:rsidRPr="006A1440">
        <w:rPr>
          <w:rFonts w:ascii="Times New Roman" w:eastAsia="標楷體" w:hAnsi="Times New Roman" w:cs="Times New Roman"/>
          <w:sz w:val="28"/>
          <w:szCs w:val="28"/>
        </w:rPr>
        <w:t xml:space="preserve"> shall also notify the agency of the violator and register the act in formal records regardless of the severity of the act. The academic reputation of the violator will be severely affected. Therefore, any form of verd</w:t>
      </w:r>
      <w:r w:rsidR="00775CF0" w:rsidRPr="006A1440">
        <w:rPr>
          <w:rFonts w:ascii="Times New Roman" w:eastAsia="標楷體" w:hAnsi="Times New Roman" w:cs="Times New Roman"/>
          <w:sz w:val="28"/>
          <w:szCs w:val="28"/>
        </w:rPr>
        <w:t>ict or penalty shall be careful</w:t>
      </w:r>
      <w:r w:rsidR="00F542A2" w:rsidRPr="006A1440">
        <w:rPr>
          <w:rFonts w:ascii="Times New Roman" w:eastAsia="標楷體" w:hAnsi="Times New Roman" w:cs="Times New Roman" w:hint="eastAsia"/>
          <w:sz w:val="28"/>
          <w:szCs w:val="28"/>
        </w:rPr>
        <w:t>ly</w:t>
      </w:r>
      <w:r w:rsidR="00CD71DC" w:rsidRPr="006A1440">
        <w:rPr>
          <w:rFonts w:ascii="Times New Roman" w:eastAsia="標楷體" w:hAnsi="Times New Roman" w:cs="Times New Roman"/>
          <w:sz w:val="28"/>
          <w:szCs w:val="28"/>
        </w:rPr>
        <w:t xml:space="preserve"> considered and reviewed. The </w:t>
      </w:r>
      <w:r w:rsidR="00BD415C" w:rsidRPr="006A1440">
        <w:rPr>
          <w:rFonts w:ascii="Times New Roman" w:hAnsi="Times New Roman" w:cs="Times New Roman"/>
          <w:sz w:val="27"/>
          <w:szCs w:val="27"/>
          <w:shd w:val="clear" w:color="auto" w:fill="FFFFFF"/>
        </w:rPr>
        <w:t>Council</w:t>
      </w:r>
      <w:r w:rsidR="00CD71DC" w:rsidRPr="006A1440">
        <w:rPr>
          <w:rFonts w:ascii="Times New Roman" w:eastAsia="標楷體" w:hAnsi="Times New Roman" w:cs="Times New Roman"/>
          <w:sz w:val="28"/>
          <w:szCs w:val="28"/>
        </w:rPr>
        <w:t xml:space="preserve"> adopts the approach of “</w:t>
      </w:r>
      <w:r w:rsidR="00CD71DC" w:rsidRPr="006A1440">
        <w:rPr>
          <w:rFonts w:ascii="Times New Roman" w:hAnsi="Times New Roman" w:cs="Times New Roman"/>
          <w:i/>
          <w:kern w:val="2"/>
          <w:sz w:val="28"/>
          <w:szCs w:val="28"/>
          <w:lang w:eastAsia="en-US"/>
        </w:rPr>
        <w:t>containing the extent of public authority</w:t>
      </w:r>
      <w:r w:rsidR="00CD71DC" w:rsidRPr="006A1440">
        <w:rPr>
          <w:rFonts w:ascii="Times New Roman" w:eastAsia="標楷體" w:hAnsi="Times New Roman" w:cs="Times New Roman"/>
          <w:sz w:val="28"/>
          <w:szCs w:val="28"/>
        </w:rPr>
        <w:t>”. Only the most severe cases of violations shall be subject to penalties enforced by the public authority.</w:t>
      </w:r>
    </w:p>
    <w:p w14:paraId="4B7CBFAC" w14:textId="77777777" w:rsidR="00363616" w:rsidRPr="006A1440" w:rsidRDefault="00036B59" w:rsidP="00F949EF">
      <w:pPr>
        <w:pStyle w:val="a3"/>
        <w:numPr>
          <w:ilvl w:val="0"/>
          <w:numId w:val="4"/>
        </w:numPr>
        <w:spacing w:line="360" w:lineRule="auto"/>
        <w:ind w:leftChars="0"/>
        <w:jc w:val="both"/>
        <w:textAlignment w:val="baseline"/>
        <w:rPr>
          <w:rFonts w:ascii="Times New Roman" w:eastAsia="標楷體" w:hAnsi="Times New Roman"/>
        </w:rPr>
      </w:pPr>
      <w:r w:rsidRPr="006A1440">
        <w:rPr>
          <w:rFonts w:ascii="Times New Roman" w:eastAsia="標楷體" w:hAnsi="Times New Roman"/>
          <w:b/>
          <w:sz w:val="28"/>
          <w:szCs w:val="28"/>
        </w:rPr>
        <w:t>Responsibilities of academic institutions for academic ethics</w:t>
      </w:r>
      <w:r w:rsidR="00044CAE" w:rsidRPr="006A1440">
        <w:rPr>
          <w:rFonts w:ascii="Times New Roman" w:eastAsia="標楷體" w:hAnsi="Times New Roman"/>
          <w:b/>
          <w:sz w:val="28"/>
          <w:szCs w:val="28"/>
        </w:rPr>
        <w:t xml:space="preserve">: </w:t>
      </w:r>
      <w:r w:rsidRPr="006A1440">
        <w:rPr>
          <w:rFonts w:ascii="Times New Roman" w:hAnsi="Times New Roman"/>
          <w:sz w:val="28"/>
          <w:szCs w:val="28"/>
        </w:rPr>
        <w:t xml:space="preserve">Every academic institution is responsible for establishing a set of rules and system governing academic ethics in order to promote and safeguard academic ethics while avoiding improper behavior. The </w:t>
      </w:r>
      <w:r w:rsidR="00BD415C" w:rsidRPr="006A1440">
        <w:rPr>
          <w:rFonts w:ascii="Times New Roman" w:hAnsi="Times New Roman" w:cs="Times New Roman"/>
          <w:sz w:val="27"/>
          <w:szCs w:val="27"/>
          <w:shd w:val="clear" w:color="auto" w:fill="FFFFFF"/>
        </w:rPr>
        <w:t>Council</w:t>
      </w:r>
      <w:r w:rsidRPr="006A1440">
        <w:rPr>
          <w:rFonts w:ascii="Times New Roman" w:hAnsi="Times New Roman"/>
          <w:sz w:val="28"/>
          <w:szCs w:val="28"/>
        </w:rPr>
        <w:t xml:space="preserve"> shall handle cases of academic ethical violation</w:t>
      </w:r>
      <w:r w:rsidR="007A3858" w:rsidRPr="006A1440">
        <w:rPr>
          <w:rFonts w:ascii="Times New Roman" w:hAnsi="Times New Roman"/>
          <w:sz w:val="28"/>
          <w:szCs w:val="28"/>
        </w:rPr>
        <w:t xml:space="preserve">s promptly, </w:t>
      </w:r>
      <w:r w:rsidR="007A3858" w:rsidRPr="006A1440">
        <w:rPr>
          <w:rFonts w:ascii="Times New Roman" w:hAnsi="Times New Roman" w:hint="eastAsia"/>
          <w:sz w:val="28"/>
          <w:szCs w:val="28"/>
        </w:rPr>
        <w:t>impartially</w:t>
      </w:r>
      <w:r w:rsidRPr="006A1440">
        <w:rPr>
          <w:rFonts w:ascii="Times New Roman" w:hAnsi="Times New Roman"/>
          <w:sz w:val="28"/>
          <w:szCs w:val="28"/>
        </w:rPr>
        <w:t xml:space="preserve">, professionally, and </w:t>
      </w:r>
      <w:r w:rsidR="007A3858" w:rsidRPr="006A1440">
        <w:rPr>
          <w:rFonts w:ascii="Times New Roman" w:hAnsi="Times New Roman" w:hint="eastAsia"/>
          <w:sz w:val="28"/>
          <w:szCs w:val="28"/>
        </w:rPr>
        <w:t>confidentially</w:t>
      </w:r>
      <w:r w:rsidRPr="006A1440">
        <w:rPr>
          <w:rFonts w:ascii="Times New Roman" w:hAnsi="Times New Roman"/>
          <w:sz w:val="28"/>
          <w:szCs w:val="28"/>
        </w:rPr>
        <w:t xml:space="preserve">. Where the </w:t>
      </w:r>
      <w:r w:rsidR="00BD415C" w:rsidRPr="006A1440">
        <w:rPr>
          <w:rFonts w:ascii="Times New Roman" w:hAnsi="Times New Roman" w:cs="Times New Roman"/>
          <w:sz w:val="27"/>
          <w:szCs w:val="27"/>
          <w:shd w:val="clear" w:color="auto" w:fill="FFFFFF"/>
        </w:rPr>
        <w:t>Council</w:t>
      </w:r>
      <w:r w:rsidRPr="006A1440">
        <w:rPr>
          <w:rFonts w:ascii="Times New Roman" w:hAnsi="Times New Roman"/>
          <w:sz w:val="28"/>
          <w:szCs w:val="28"/>
        </w:rPr>
        <w:t xml:space="preserve"> has determined the case to have violated academic ethics, the </w:t>
      </w:r>
      <w:r w:rsidR="00BD415C" w:rsidRPr="006A1440">
        <w:rPr>
          <w:rFonts w:ascii="Times New Roman" w:hAnsi="Times New Roman" w:cs="Times New Roman"/>
          <w:sz w:val="27"/>
          <w:szCs w:val="27"/>
          <w:shd w:val="clear" w:color="auto" w:fill="FFFFFF"/>
        </w:rPr>
        <w:t>Council</w:t>
      </w:r>
      <w:r w:rsidRPr="006A1440">
        <w:rPr>
          <w:rFonts w:ascii="Times New Roman" w:hAnsi="Times New Roman"/>
          <w:sz w:val="28"/>
          <w:szCs w:val="28"/>
        </w:rPr>
        <w:t xml:space="preserve"> shall notify the academic institution(s) where the violator works at and require the said institution(s) to review and improve upon the issue.</w:t>
      </w:r>
    </w:p>
    <w:p w14:paraId="0BD204D3" w14:textId="77777777" w:rsidR="00363616" w:rsidRPr="006A1440" w:rsidRDefault="00363616" w:rsidP="00F949EF">
      <w:pPr>
        <w:spacing w:line="300" w:lineRule="auto"/>
        <w:jc w:val="both"/>
        <w:rPr>
          <w:rFonts w:ascii="Times New Roman" w:eastAsia="標楷體" w:hAnsi="Times New Roman"/>
          <w:kern w:val="0"/>
          <w:szCs w:val="24"/>
        </w:rPr>
      </w:pPr>
    </w:p>
    <w:sectPr w:rsidR="00363616" w:rsidRPr="006A144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F0B9" w14:textId="77777777" w:rsidR="008F4D34" w:rsidRDefault="008F4D34">
      <w:r>
        <w:separator/>
      </w:r>
    </w:p>
  </w:endnote>
  <w:endnote w:type="continuationSeparator" w:id="0">
    <w:p w14:paraId="670E8EF3" w14:textId="77777777" w:rsidR="008F4D34" w:rsidRDefault="008F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679126"/>
      <w:docPartObj>
        <w:docPartGallery w:val="Page Numbers (Bottom of Page)"/>
        <w:docPartUnique/>
      </w:docPartObj>
    </w:sdtPr>
    <w:sdtEndPr/>
    <w:sdtContent>
      <w:p w14:paraId="5E8BD9C7" w14:textId="77777777" w:rsidR="00BF32C9" w:rsidRDefault="00BF32C9">
        <w:pPr>
          <w:pStyle w:val="a6"/>
          <w:jc w:val="center"/>
        </w:pPr>
        <w:r>
          <w:fldChar w:fldCharType="begin"/>
        </w:r>
        <w:r>
          <w:instrText>PAGE   \* MERGEFORMAT</w:instrText>
        </w:r>
        <w:r>
          <w:fldChar w:fldCharType="separate"/>
        </w:r>
        <w:r w:rsidR="003D1024" w:rsidRPr="003D1024">
          <w:rPr>
            <w:noProof/>
            <w:lang w:val="zh-TW" w:eastAsia="zh-TW"/>
          </w:rPr>
          <w:t>1</w:t>
        </w:r>
        <w:r>
          <w:fldChar w:fldCharType="end"/>
        </w:r>
      </w:p>
    </w:sdtContent>
  </w:sdt>
  <w:p w14:paraId="362E9DD5" w14:textId="77777777" w:rsidR="00BF32C9" w:rsidRDefault="00BF32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7900" w14:textId="77777777" w:rsidR="008F4D34" w:rsidRDefault="008F4D34">
      <w:r>
        <w:separator/>
      </w:r>
    </w:p>
  </w:footnote>
  <w:footnote w:type="continuationSeparator" w:id="0">
    <w:p w14:paraId="3F0BDCDD" w14:textId="77777777" w:rsidR="008F4D34" w:rsidRDefault="008F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858"/>
    <w:multiLevelType w:val="hybridMultilevel"/>
    <w:tmpl w:val="D042F2DC"/>
    <w:lvl w:ilvl="0" w:tplc="D870F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B377E"/>
    <w:multiLevelType w:val="hybridMultilevel"/>
    <w:tmpl w:val="9514C210"/>
    <w:lvl w:ilvl="0" w:tplc="5022BB1A">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5E6CAA"/>
    <w:multiLevelType w:val="hybridMultilevel"/>
    <w:tmpl w:val="0CE05DA4"/>
    <w:lvl w:ilvl="0" w:tplc="0068F5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F3256E"/>
    <w:multiLevelType w:val="hybridMultilevel"/>
    <w:tmpl w:val="E496D43E"/>
    <w:lvl w:ilvl="0" w:tplc="EF38EE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D951EF"/>
    <w:multiLevelType w:val="hybridMultilevel"/>
    <w:tmpl w:val="DE307634"/>
    <w:lvl w:ilvl="0" w:tplc="36189C52">
      <w:start w:val="1"/>
      <w:numFmt w:val="decimal"/>
      <w:lvlText w:val="%1."/>
      <w:lvlJc w:val="left"/>
      <w:pPr>
        <w:ind w:left="360" w:hanging="36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A047CC"/>
    <w:multiLevelType w:val="hybridMultilevel"/>
    <w:tmpl w:val="AD58BCD2"/>
    <w:lvl w:ilvl="0" w:tplc="D13C85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85159C"/>
    <w:multiLevelType w:val="hybridMultilevel"/>
    <w:tmpl w:val="6630C77A"/>
    <w:lvl w:ilvl="0" w:tplc="D81C3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612626"/>
    <w:multiLevelType w:val="hybridMultilevel"/>
    <w:tmpl w:val="5AB2E72E"/>
    <w:lvl w:ilvl="0" w:tplc="7D08FC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55A50F9"/>
    <w:multiLevelType w:val="hybridMultilevel"/>
    <w:tmpl w:val="0A7C7352"/>
    <w:lvl w:ilvl="0" w:tplc="D38669D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EE032F3"/>
    <w:multiLevelType w:val="hybridMultilevel"/>
    <w:tmpl w:val="3EFCC406"/>
    <w:lvl w:ilvl="0" w:tplc="54328906">
      <w:start w:val="1"/>
      <w:numFmt w:val="decimal"/>
      <w:lvlText w:val="%1."/>
      <w:lvlJc w:val="left"/>
      <w:pPr>
        <w:ind w:left="1182" w:hanging="360"/>
      </w:pPr>
      <w:rPr>
        <w:rFonts w:hint="default"/>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0" w15:restartNumberingAfterBreak="0">
    <w:nsid w:val="61861682"/>
    <w:multiLevelType w:val="hybridMultilevel"/>
    <w:tmpl w:val="44EEF0F8"/>
    <w:lvl w:ilvl="0" w:tplc="E4202E1E">
      <w:start w:val="1"/>
      <w:numFmt w:val="decimal"/>
      <w:lvlText w:val="%1."/>
      <w:lvlJc w:val="left"/>
      <w:pPr>
        <w:tabs>
          <w:tab w:val="num" w:pos="720"/>
        </w:tabs>
        <w:ind w:left="720" w:hanging="360"/>
      </w:pPr>
    </w:lvl>
    <w:lvl w:ilvl="1" w:tplc="88548494" w:tentative="1">
      <w:start w:val="1"/>
      <w:numFmt w:val="decimal"/>
      <w:lvlText w:val="%2."/>
      <w:lvlJc w:val="left"/>
      <w:pPr>
        <w:tabs>
          <w:tab w:val="num" w:pos="1440"/>
        </w:tabs>
        <w:ind w:left="1440" w:hanging="360"/>
      </w:pPr>
    </w:lvl>
    <w:lvl w:ilvl="2" w:tplc="9F06581C" w:tentative="1">
      <w:start w:val="1"/>
      <w:numFmt w:val="decimal"/>
      <w:lvlText w:val="%3."/>
      <w:lvlJc w:val="left"/>
      <w:pPr>
        <w:tabs>
          <w:tab w:val="num" w:pos="2160"/>
        </w:tabs>
        <w:ind w:left="2160" w:hanging="360"/>
      </w:pPr>
    </w:lvl>
    <w:lvl w:ilvl="3" w:tplc="9C108CE6" w:tentative="1">
      <w:start w:val="1"/>
      <w:numFmt w:val="decimal"/>
      <w:lvlText w:val="%4."/>
      <w:lvlJc w:val="left"/>
      <w:pPr>
        <w:tabs>
          <w:tab w:val="num" w:pos="2880"/>
        </w:tabs>
        <w:ind w:left="2880" w:hanging="360"/>
      </w:pPr>
    </w:lvl>
    <w:lvl w:ilvl="4" w:tplc="D7D0C4DA" w:tentative="1">
      <w:start w:val="1"/>
      <w:numFmt w:val="decimal"/>
      <w:lvlText w:val="%5."/>
      <w:lvlJc w:val="left"/>
      <w:pPr>
        <w:tabs>
          <w:tab w:val="num" w:pos="3600"/>
        </w:tabs>
        <w:ind w:left="3600" w:hanging="360"/>
      </w:pPr>
    </w:lvl>
    <w:lvl w:ilvl="5" w:tplc="58F086AC" w:tentative="1">
      <w:start w:val="1"/>
      <w:numFmt w:val="decimal"/>
      <w:lvlText w:val="%6."/>
      <w:lvlJc w:val="left"/>
      <w:pPr>
        <w:tabs>
          <w:tab w:val="num" w:pos="4320"/>
        </w:tabs>
        <w:ind w:left="4320" w:hanging="360"/>
      </w:pPr>
    </w:lvl>
    <w:lvl w:ilvl="6" w:tplc="0AD639B4" w:tentative="1">
      <w:start w:val="1"/>
      <w:numFmt w:val="decimal"/>
      <w:lvlText w:val="%7."/>
      <w:lvlJc w:val="left"/>
      <w:pPr>
        <w:tabs>
          <w:tab w:val="num" w:pos="5040"/>
        </w:tabs>
        <w:ind w:left="5040" w:hanging="360"/>
      </w:pPr>
    </w:lvl>
    <w:lvl w:ilvl="7" w:tplc="222C72F8" w:tentative="1">
      <w:start w:val="1"/>
      <w:numFmt w:val="decimal"/>
      <w:lvlText w:val="%8."/>
      <w:lvlJc w:val="left"/>
      <w:pPr>
        <w:tabs>
          <w:tab w:val="num" w:pos="5760"/>
        </w:tabs>
        <w:ind w:left="5760" w:hanging="360"/>
      </w:pPr>
    </w:lvl>
    <w:lvl w:ilvl="8" w:tplc="25E4F90C" w:tentative="1">
      <w:start w:val="1"/>
      <w:numFmt w:val="decimal"/>
      <w:lvlText w:val="%9."/>
      <w:lvlJc w:val="left"/>
      <w:pPr>
        <w:tabs>
          <w:tab w:val="num" w:pos="6480"/>
        </w:tabs>
        <w:ind w:left="6480" w:hanging="360"/>
      </w:pPr>
    </w:lvl>
  </w:abstractNum>
  <w:num w:numId="1">
    <w:abstractNumId w:val="4"/>
  </w:num>
  <w:num w:numId="2">
    <w:abstractNumId w:val="10"/>
  </w:num>
  <w:num w:numId="3">
    <w:abstractNumId w:val="6"/>
  </w:num>
  <w:num w:numId="4">
    <w:abstractNumId w:val="1"/>
  </w:num>
  <w:num w:numId="5">
    <w:abstractNumId w:val="0"/>
  </w:num>
  <w:num w:numId="6">
    <w:abstractNumId w:val="8"/>
  </w:num>
  <w:num w:numId="7">
    <w:abstractNumId w:val="3"/>
  </w:num>
  <w:num w:numId="8">
    <w:abstractNumId w:val="9"/>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616"/>
    <w:rsid w:val="00002576"/>
    <w:rsid w:val="00036B59"/>
    <w:rsid w:val="00044CAE"/>
    <w:rsid w:val="000575EB"/>
    <w:rsid w:val="00075101"/>
    <w:rsid w:val="000A13A8"/>
    <w:rsid w:val="000C1E7A"/>
    <w:rsid w:val="000D5017"/>
    <w:rsid w:val="000E2ABD"/>
    <w:rsid w:val="00101123"/>
    <w:rsid w:val="001557A3"/>
    <w:rsid w:val="00215E62"/>
    <w:rsid w:val="0024480B"/>
    <w:rsid w:val="002649F2"/>
    <w:rsid w:val="00280FF5"/>
    <w:rsid w:val="00284B1D"/>
    <w:rsid w:val="002A410D"/>
    <w:rsid w:val="002B09D2"/>
    <w:rsid w:val="00327298"/>
    <w:rsid w:val="00341FF7"/>
    <w:rsid w:val="00342B56"/>
    <w:rsid w:val="00351789"/>
    <w:rsid w:val="00363316"/>
    <w:rsid w:val="00363616"/>
    <w:rsid w:val="003B39C5"/>
    <w:rsid w:val="003D1024"/>
    <w:rsid w:val="004245C8"/>
    <w:rsid w:val="0046526E"/>
    <w:rsid w:val="004E3303"/>
    <w:rsid w:val="006332A8"/>
    <w:rsid w:val="006A1440"/>
    <w:rsid w:val="006E0141"/>
    <w:rsid w:val="00704178"/>
    <w:rsid w:val="007623CC"/>
    <w:rsid w:val="00775CF0"/>
    <w:rsid w:val="007A3858"/>
    <w:rsid w:val="007D2B19"/>
    <w:rsid w:val="00813200"/>
    <w:rsid w:val="008F4D34"/>
    <w:rsid w:val="0096670D"/>
    <w:rsid w:val="009D0E8F"/>
    <w:rsid w:val="00A15E8A"/>
    <w:rsid w:val="00A406F9"/>
    <w:rsid w:val="00A61869"/>
    <w:rsid w:val="00B0543A"/>
    <w:rsid w:val="00BB7EC7"/>
    <w:rsid w:val="00BD415C"/>
    <w:rsid w:val="00BF32C9"/>
    <w:rsid w:val="00CB110A"/>
    <w:rsid w:val="00CB5258"/>
    <w:rsid w:val="00CD71DC"/>
    <w:rsid w:val="00D562E7"/>
    <w:rsid w:val="00D75E35"/>
    <w:rsid w:val="00DB5780"/>
    <w:rsid w:val="00DD43D6"/>
    <w:rsid w:val="00EA2929"/>
    <w:rsid w:val="00EA5F2B"/>
    <w:rsid w:val="00F06859"/>
    <w:rsid w:val="00F1325E"/>
    <w:rsid w:val="00F542A2"/>
    <w:rsid w:val="00F94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29FC7"/>
  <w15:docId w15:val="{B896C3CD-FC83-455D-A788-BCC93179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nhideWhenUsed/>
    <w:qFormat/>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widowControl/>
      <w:ind w:leftChars="200" w:left="480"/>
    </w:pPr>
    <w:rPr>
      <w:rFonts w:ascii="新細明體" w:hAnsi="新細明體" w:cs="新細明體"/>
      <w:kern w:val="0"/>
      <w:szCs w:val="24"/>
    </w:rPr>
  </w:style>
  <w:style w:type="paragraph" w:styleId="a4">
    <w:name w:val="header"/>
    <w:basedOn w:val="a"/>
    <w:link w:val="a5"/>
    <w:uiPriority w:val="99"/>
    <w:unhideWhenUsed/>
    <w:pPr>
      <w:tabs>
        <w:tab w:val="center" w:pos="4153"/>
        <w:tab w:val="right" w:pos="8306"/>
      </w:tabs>
      <w:snapToGrid w:val="0"/>
    </w:pPr>
    <w:rPr>
      <w:sz w:val="20"/>
      <w:szCs w:val="20"/>
      <w:lang w:val="x-none" w:eastAsia="x-none"/>
    </w:rPr>
  </w:style>
  <w:style w:type="character" w:customStyle="1" w:styleId="a5">
    <w:name w:val="頁首 字元"/>
    <w:link w:val="a4"/>
    <w:uiPriority w:val="99"/>
    <w:rPr>
      <w:kern w:val="2"/>
    </w:rPr>
  </w:style>
  <w:style w:type="paragraph" w:styleId="a6">
    <w:name w:val="footer"/>
    <w:basedOn w:val="a"/>
    <w:link w:val="a7"/>
    <w:uiPriority w:val="99"/>
    <w:unhideWhenUsed/>
    <w:pPr>
      <w:tabs>
        <w:tab w:val="center" w:pos="4153"/>
        <w:tab w:val="right" w:pos="8306"/>
      </w:tabs>
      <w:snapToGrid w:val="0"/>
    </w:pPr>
    <w:rPr>
      <w:sz w:val="20"/>
      <w:szCs w:val="20"/>
      <w:lang w:val="x-none" w:eastAsia="x-none"/>
    </w:rPr>
  </w:style>
  <w:style w:type="character" w:customStyle="1" w:styleId="a7">
    <w:name w:val="頁尾 字元"/>
    <w:link w:val="a6"/>
    <w:uiPriority w:val="99"/>
    <w:rPr>
      <w:kern w:val="2"/>
    </w:rPr>
  </w:style>
  <w:style w:type="paragraph" w:styleId="Web">
    <w:name w:val="Normal (Web)"/>
    <w:basedOn w:val="a"/>
    <w:uiPriority w:val="99"/>
    <w:semiHidden/>
    <w:unhideWhenUsed/>
    <w:pPr>
      <w:widowControl/>
      <w:spacing w:before="100" w:beforeAutospacing="1" w:after="100" w:afterAutospacing="1"/>
    </w:pPr>
    <w:rPr>
      <w:rFonts w:ascii="新細明體" w:hAnsi="新細明體" w:cs="新細明體"/>
      <w:kern w:val="0"/>
      <w:szCs w:val="24"/>
    </w:rPr>
  </w:style>
  <w:style w:type="paragraph" w:styleId="a8">
    <w:name w:val="Balloon Text"/>
    <w:basedOn w:val="a"/>
    <w:link w:val="a9"/>
    <w:uiPriority w:val="99"/>
    <w:semiHidden/>
    <w:unhideWhenUsed/>
    <w:rPr>
      <w:rFonts w:ascii="Cambria" w:hAnsi="Cambria"/>
      <w:sz w:val="18"/>
      <w:szCs w:val="18"/>
    </w:rPr>
  </w:style>
  <w:style w:type="character" w:customStyle="1" w:styleId="a9">
    <w:name w:val="註解方塊文字 字元"/>
    <w:link w:val="a8"/>
    <w:uiPriority w:val="99"/>
    <w:semiHidden/>
    <w:rPr>
      <w:rFonts w:ascii="Cambria" w:eastAsia="新細明體" w:hAnsi="Cambria" w:cs="Times New Roman"/>
      <w:kern w:val="2"/>
      <w:sz w:val="18"/>
      <w:szCs w:val="18"/>
    </w:rPr>
  </w:style>
  <w:style w:type="character" w:customStyle="1" w:styleId="20">
    <w:name w:val="標題 2 字元"/>
    <w:basedOn w:val="a0"/>
    <w:link w:val="2"/>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94121">
      <w:bodyDiv w:val="1"/>
      <w:marLeft w:val="0"/>
      <w:marRight w:val="0"/>
      <w:marTop w:val="0"/>
      <w:marBottom w:val="0"/>
      <w:divBdr>
        <w:top w:val="none" w:sz="0" w:space="0" w:color="auto"/>
        <w:left w:val="none" w:sz="0" w:space="0" w:color="auto"/>
        <w:bottom w:val="none" w:sz="0" w:space="0" w:color="auto"/>
        <w:right w:val="none" w:sz="0" w:space="0" w:color="auto"/>
      </w:divBdr>
    </w:div>
    <w:div w:id="678431674">
      <w:bodyDiv w:val="1"/>
      <w:marLeft w:val="0"/>
      <w:marRight w:val="0"/>
      <w:marTop w:val="0"/>
      <w:marBottom w:val="0"/>
      <w:divBdr>
        <w:top w:val="none" w:sz="0" w:space="0" w:color="auto"/>
        <w:left w:val="none" w:sz="0" w:space="0" w:color="auto"/>
        <w:bottom w:val="none" w:sz="0" w:space="0" w:color="auto"/>
        <w:right w:val="none" w:sz="0" w:space="0" w:color="auto"/>
      </w:divBdr>
    </w:div>
    <w:div w:id="1494644267">
      <w:bodyDiv w:val="1"/>
      <w:marLeft w:val="0"/>
      <w:marRight w:val="0"/>
      <w:marTop w:val="0"/>
      <w:marBottom w:val="0"/>
      <w:divBdr>
        <w:top w:val="none" w:sz="0" w:space="0" w:color="auto"/>
        <w:left w:val="none" w:sz="0" w:space="0" w:color="auto"/>
        <w:bottom w:val="none" w:sz="0" w:space="0" w:color="auto"/>
        <w:right w:val="none" w:sz="0" w:space="0" w:color="auto"/>
      </w:divBdr>
    </w:div>
    <w:div w:id="1823740053">
      <w:bodyDiv w:val="1"/>
      <w:marLeft w:val="0"/>
      <w:marRight w:val="0"/>
      <w:marTop w:val="0"/>
      <w:marBottom w:val="0"/>
      <w:divBdr>
        <w:top w:val="none" w:sz="0" w:space="0" w:color="auto"/>
        <w:left w:val="none" w:sz="0" w:space="0" w:color="auto"/>
        <w:bottom w:val="none" w:sz="0" w:space="0" w:color="auto"/>
        <w:right w:val="none" w:sz="0" w:space="0" w:color="auto"/>
      </w:divBdr>
      <w:divsChild>
        <w:div w:id="125590080">
          <w:marLeft w:val="0"/>
          <w:marRight w:val="0"/>
          <w:marTop w:val="240"/>
          <w:marBottom w:val="0"/>
          <w:divBdr>
            <w:top w:val="none" w:sz="0" w:space="0" w:color="auto"/>
            <w:left w:val="none" w:sz="0" w:space="0" w:color="auto"/>
            <w:bottom w:val="none" w:sz="0" w:space="0" w:color="auto"/>
            <w:right w:val="none" w:sz="0" w:space="0" w:color="auto"/>
          </w:divBdr>
        </w:div>
      </w:divsChild>
    </w:div>
    <w:div w:id="20866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國科會對學術倫理的原則</vt:lpstr>
    </vt:vector>
  </TitlesOfParts>
  <Company>C.M.T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蔡成胤</cp:lastModifiedBy>
  <cp:revision>9</cp:revision>
  <cp:lastPrinted>2022-09-01T07:30:00Z</cp:lastPrinted>
  <dcterms:created xsi:type="dcterms:W3CDTF">2017-03-01T12:23:00Z</dcterms:created>
  <dcterms:modified xsi:type="dcterms:W3CDTF">2022-09-01T07:30:00Z</dcterms:modified>
</cp:coreProperties>
</file>